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val="0"/>
        <w:spacing w:before="0" w:beforeLines="0" w:after="0" w:afterLines="0" w:line="640" w:lineRule="exact"/>
        <w:ind w:left="0" w:leftChars="0" w:firstLine="0" w:firstLineChars="0"/>
        <w:jc w:val="both"/>
        <w:textAlignment w:val="auto"/>
        <w:rPr>
          <w:rFonts w:hint="default" w:ascii="仿宋_GB2312" w:hAnsi="仿宋_GB2312" w:cs="仿宋_GB2312"/>
          <w:b/>
          <w:bCs/>
          <w:lang w:val="en-US" w:eastAsia="zh-CN"/>
        </w:rPr>
      </w:pP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b/>
          <w:bCs/>
          <w:lang w:val="en-US" w:eastAsia="zh-CN"/>
        </w:rPr>
        <w:t>附件1</w:t>
      </w:r>
    </w:p>
    <w:p>
      <w:pPr>
        <w:pStyle w:val="2"/>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询价单位情况</w:t>
      </w:r>
    </w:p>
    <w:p>
      <w:pPr>
        <w:pStyle w:val="2"/>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（一）企业</w:t>
      </w:r>
      <w:r>
        <w:rPr>
          <w:rFonts w:hint="eastAsia" w:ascii="仿宋_GB2312" w:hAnsi="仿宋_GB2312" w:eastAsia="仿宋_GB2312" w:cs="仿宋_GB2312"/>
          <w:b/>
          <w:kern w:val="0"/>
          <w:sz w:val="32"/>
          <w:szCs w:val="32"/>
          <w:lang w:val="en-US" w:eastAsia="zh-CN"/>
        </w:rPr>
        <w:t>基本情</w:t>
      </w:r>
      <w:r>
        <w:rPr>
          <w:rFonts w:hint="eastAsia" w:ascii="仿宋_GB2312" w:hAnsi="仿宋_GB2312" w:eastAsia="仿宋_GB2312" w:cs="仿宋_GB2312"/>
          <w:b/>
          <w:kern w:val="0"/>
          <w:sz w:val="32"/>
          <w:szCs w:val="32"/>
          <w:lang w:val="zh-CN"/>
        </w:rPr>
        <w:t>况</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企业名称：</w:t>
      </w:r>
      <w:r>
        <w:rPr>
          <w:rFonts w:hint="eastAsia" w:ascii="仿宋_GB2312" w:hAnsi="仿宋_GB2312" w:eastAsia="仿宋_GB2312" w:cs="仿宋_GB2312"/>
          <w:color w:val="auto"/>
          <w:sz w:val="32"/>
          <w:szCs w:val="32"/>
          <w:lang w:val="en-US" w:eastAsia="zh-CN"/>
        </w:rPr>
        <w:t>陕西华夏粉末冶金有限责任公司</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.注册日期：2003年04月04日</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企业住所：咸阳市</w:t>
      </w:r>
      <w:r>
        <w:rPr>
          <w:rFonts w:hint="eastAsia" w:ascii="仿宋_GB2312" w:hAnsi="仿宋_GB2312" w:eastAsia="仿宋_GB2312" w:cs="仿宋_GB2312"/>
          <w:color w:val="auto"/>
          <w:sz w:val="32"/>
          <w:szCs w:val="32"/>
          <w:lang w:val="en-US" w:eastAsia="zh-CN"/>
        </w:rPr>
        <w:t>渭城区</w:t>
      </w:r>
      <w:r>
        <w:rPr>
          <w:rFonts w:hint="eastAsia" w:ascii="仿宋_GB2312" w:hAnsi="仿宋_GB2312" w:eastAsia="仿宋_GB2312" w:cs="仿宋_GB2312"/>
          <w:color w:val="auto"/>
          <w:sz w:val="32"/>
          <w:szCs w:val="32"/>
        </w:rPr>
        <w:t>文汇西路13号</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法定代表人：</w:t>
      </w:r>
      <w:r>
        <w:rPr>
          <w:rFonts w:hint="eastAsia" w:ascii="仿宋_GB2312" w:hAnsi="仿宋_GB2312" w:eastAsia="仿宋_GB2312" w:cs="仿宋_GB2312"/>
          <w:color w:val="auto"/>
          <w:sz w:val="32"/>
          <w:szCs w:val="32"/>
          <w:lang w:val="en-US" w:eastAsia="zh-CN"/>
        </w:rPr>
        <w:t>王云平</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经营范围：粉末冶金材料、模具、制品及设备的研发、生产、销售及技术咨询、检验、检测服务；机械零部件，汽摩配件、光机电产品、纺织机械、工程机械、环保设备、化工原料及产品（除危险品）的研发、生产、销售及技术服务；货物进出口业务（国家禁止或限制的货物、技术除外）；供电、售电服务。（依法须经批准的项目，经相关部门批准后方可开展经营活动）。</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注册资本：</w:t>
      </w:r>
      <w:r>
        <w:rPr>
          <w:rFonts w:hint="eastAsia" w:ascii="仿宋_GB2312" w:hAnsi="仿宋_GB2312" w:eastAsia="仿宋_GB2312" w:cs="仿宋_GB2312"/>
          <w:color w:val="auto"/>
          <w:sz w:val="32"/>
          <w:szCs w:val="32"/>
          <w:lang w:val="en-US" w:eastAsia="zh-CN"/>
        </w:rPr>
        <w:t>人民币800万元</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出资人</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陕西省机械研究院出资361.92万元、陕西省机械研究院工会出资210.08万元、陕西雍工投资有限公司出资228万元。</w:t>
      </w:r>
    </w:p>
    <w:p>
      <w:pPr>
        <w:pStyle w:val="2"/>
        <w:pageBreakBefore w:val="0"/>
        <w:widowControl w:val="0"/>
        <w:kinsoku/>
        <w:wordWrap/>
        <w:overflowPunct/>
        <w:topLinePunct w:val="0"/>
        <w:autoSpaceDE/>
        <w:autoSpaceDN/>
        <w:bidi w:val="0"/>
        <w:adjustRightInd/>
        <w:spacing w:line="600" w:lineRule="exact"/>
        <w:ind w:firstLine="643" w:firstLineChars="200"/>
        <w:textAlignment w:val="auto"/>
        <w:rPr>
          <w:rFonts w:hint="eastAsia"/>
          <w:lang w:val="en-US" w:eastAsia="zh-CN"/>
        </w:rPr>
      </w:pPr>
      <w:r>
        <w:rPr>
          <w:rFonts w:hint="eastAsia" w:ascii="仿宋_GB2312" w:hAnsi="仿宋_GB2312" w:eastAsia="仿宋_GB2312" w:cs="仿宋_GB2312"/>
          <w:b/>
          <w:kern w:val="0"/>
          <w:sz w:val="32"/>
          <w:szCs w:val="32"/>
          <w:lang w:val="zh-CN"/>
        </w:rPr>
        <w:t>（</w:t>
      </w:r>
      <w:r>
        <w:rPr>
          <w:rFonts w:hint="eastAsia" w:ascii="仿宋_GB2312" w:hAnsi="仿宋_GB2312" w:eastAsia="仿宋_GB2312" w:cs="仿宋_GB2312"/>
          <w:b/>
          <w:kern w:val="0"/>
          <w:sz w:val="32"/>
          <w:szCs w:val="32"/>
          <w:lang w:val="en-US" w:eastAsia="zh-CN"/>
        </w:rPr>
        <w:t>二</w:t>
      </w:r>
      <w:r>
        <w:rPr>
          <w:rFonts w:hint="eastAsia" w:ascii="仿宋_GB2312" w:hAnsi="仿宋_GB2312" w:eastAsia="仿宋_GB2312" w:cs="仿宋_GB2312"/>
          <w:b/>
          <w:kern w:val="0"/>
          <w:sz w:val="32"/>
          <w:szCs w:val="32"/>
          <w:lang w:val="zh-CN"/>
        </w:rPr>
        <w:t>）企业资产</w:t>
      </w:r>
      <w:r>
        <w:rPr>
          <w:rFonts w:hint="eastAsia" w:ascii="仿宋_GB2312" w:hAnsi="仿宋_GB2312" w:eastAsia="仿宋_GB2312" w:cs="仿宋_GB2312"/>
          <w:b/>
          <w:kern w:val="0"/>
          <w:sz w:val="32"/>
          <w:szCs w:val="32"/>
          <w:lang w:val="en-US" w:eastAsia="zh-CN"/>
        </w:rPr>
        <w:t>及收入简</w:t>
      </w:r>
      <w:r>
        <w:rPr>
          <w:rFonts w:hint="eastAsia" w:ascii="仿宋_GB2312" w:hAnsi="仿宋_GB2312" w:eastAsia="仿宋_GB2312" w:cs="仿宋_GB2312"/>
          <w:b/>
          <w:kern w:val="0"/>
          <w:sz w:val="32"/>
          <w:szCs w:val="32"/>
          <w:lang w:val="zh-CN"/>
        </w:rPr>
        <w:t>况</w:t>
      </w:r>
    </w:p>
    <w:p>
      <w:pPr>
        <w:keepNext w:val="0"/>
        <w:keepLines w:val="0"/>
        <w:pageBreakBefore w:val="0"/>
        <w:widowControl w:val="0"/>
        <w:tabs>
          <w:tab w:val="left" w:pos="720"/>
        </w:tabs>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2020年度净资产2031.25万元，2020年度总资产3023.34万元，2020年度营业收入2994.68万元。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陕西华夏粉末冶金有限责任公司</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default" w:ascii="方正小标宋简体" w:eastAsia="方正小标宋简体"/>
          <w:b/>
          <w:sz w:val="44"/>
          <w:szCs w:val="44"/>
          <w:lang w:val="en-US" w:eastAsia="zh-CN"/>
        </w:rPr>
      </w:pPr>
      <w:r>
        <w:rPr>
          <w:rFonts w:hint="eastAsia" w:ascii="方正小标宋简体" w:eastAsia="方正小标宋简体" w:cs="Times New Roman"/>
          <w:b/>
          <w:sz w:val="44"/>
          <w:szCs w:val="44"/>
          <w:lang w:val="en-US" w:eastAsia="zh-CN"/>
        </w:rPr>
        <w:t>股权改革中涉及的审计评估服务报价单</w:t>
      </w:r>
    </w:p>
    <w:tbl>
      <w:tblPr>
        <w:tblStyle w:val="5"/>
        <w:tblpPr w:leftFromText="180" w:rightFromText="180" w:vertAnchor="text" w:horzAnchor="page" w:tblpX="1605" w:tblpY="441"/>
        <w:tblOverlap w:val="never"/>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5070"/>
        <w:gridCol w:w="90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6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序号</w:t>
            </w:r>
          </w:p>
        </w:tc>
        <w:tc>
          <w:tcPr>
            <w:tcW w:w="507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采购需求</w:t>
            </w:r>
          </w:p>
        </w:tc>
        <w:tc>
          <w:tcPr>
            <w:tcW w:w="90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default"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数量</w:t>
            </w:r>
          </w:p>
        </w:tc>
        <w:tc>
          <w:tcPr>
            <w:tcW w:w="225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sz w:val="32"/>
                <w:szCs w:val="32"/>
                <w:vertAlign w:val="baseline"/>
                <w:lang w:val="en-US" w:eastAsia="zh-CN"/>
              </w:rPr>
              <w:t>1</w:t>
            </w:r>
          </w:p>
        </w:tc>
        <w:tc>
          <w:tcPr>
            <w:tcW w:w="507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both"/>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sz w:val="32"/>
                <w:szCs w:val="32"/>
                <w:vertAlign w:val="baseline"/>
                <w:lang w:val="en-US" w:eastAsia="zh-CN"/>
              </w:rPr>
              <w:t>陕西华夏粉末冶金有限责任公司股权改革中涉及的审计服务报价</w:t>
            </w:r>
          </w:p>
        </w:tc>
        <w:tc>
          <w:tcPr>
            <w:tcW w:w="90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sz w:val="32"/>
                <w:szCs w:val="32"/>
                <w:vertAlign w:val="baseline"/>
                <w:lang w:val="en-US" w:eastAsia="zh-CN"/>
              </w:rPr>
              <w:t>1次</w:t>
            </w:r>
          </w:p>
        </w:tc>
        <w:tc>
          <w:tcPr>
            <w:tcW w:w="225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default"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2</w:t>
            </w:r>
          </w:p>
        </w:tc>
        <w:tc>
          <w:tcPr>
            <w:tcW w:w="507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both"/>
              <w:textAlignment w:val="auto"/>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陕西华夏粉末冶金有限责任公司股权改革中涉及的资产评估服务报价</w:t>
            </w:r>
          </w:p>
        </w:tc>
        <w:tc>
          <w:tcPr>
            <w:tcW w:w="90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default"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1次</w:t>
            </w:r>
          </w:p>
        </w:tc>
        <w:tc>
          <w:tcPr>
            <w:tcW w:w="225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5" w:type="dxa"/>
            <w:gridSpan w:val="3"/>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合计</w:t>
            </w:r>
          </w:p>
        </w:tc>
        <w:tc>
          <w:tcPr>
            <w:tcW w:w="225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ind w:left="0" w:leftChars="0" w:firstLine="0" w:firstLineChars="0"/>
              <w:jc w:val="center"/>
              <w:textAlignment w:val="auto"/>
              <w:rPr>
                <w:rFonts w:hint="eastAsia"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5" w:type="dxa"/>
            <w:gridSpan w:val="4"/>
            <w:noWrap w:val="0"/>
            <w:vAlign w:val="top"/>
          </w:tcPr>
          <w:p>
            <w:pPr>
              <w:pStyle w:val="2"/>
              <w:pageBreakBefore w:val="0"/>
              <w:widowControl w:val="0"/>
              <w:kinsoku/>
              <w:wordWrap/>
              <w:overflowPunct/>
              <w:topLinePunct w:val="0"/>
              <w:autoSpaceDE/>
              <w:autoSpaceDN/>
              <w:bidi w:val="0"/>
              <w:adjustRightInd/>
              <w:snapToGrid/>
              <w:spacing w:before="0" w:beforeLines="0" w:after="0" w:afterLines="0" w:line="440" w:lineRule="exact"/>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sz w:val="28"/>
                <w:szCs w:val="28"/>
                <w:lang w:val="en-US" w:eastAsia="zh-CN"/>
              </w:rPr>
              <w:t>注</w:t>
            </w:r>
            <w:r>
              <w:rPr>
                <w:rFonts w:hint="eastAsia" w:ascii="仿宋_GB2312" w:hAnsi="仿宋_GB2312" w:eastAsia="仿宋_GB2312" w:cs="仿宋_GB2312"/>
                <w:b/>
                <w:bCs w:val="0"/>
                <w:color w:val="000000"/>
                <w:sz w:val="28"/>
                <w:szCs w:val="28"/>
                <w:lang w:val="en-US" w:eastAsia="zh-CN"/>
              </w:rPr>
              <w:t>：1.报价单位应一次性报价，采购单位不再进行二次询价；</w:t>
            </w:r>
          </w:p>
          <w:p>
            <w:pPr>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bCs w:val="0"/>
                <w:color w:val="000000"/>
                <w:sz w:val="28"/>
                <w:szCs w:val="28"/>
                <w:lang w:val="en-US" w:eastAsia="zh-CN"/>
              </w:rPr>
              <w:t>2.报价单位须将报价单盖章后扫描发至指定联系人邮箱。</w:t>
            </w:r>
          </w:p>
        </w:tc>
      </w:tr>
    </w:tbl>
    <w:p>
      <w:pPr>
        <w:rPr>
          <w:rFonts w:hint="eastAsia"/>
          <w:lang w:val="en-US" w:eastAsia="zh-CN"/>
        </w:rPr>
      </w:pPr>
    </w:p>
    <w:p>
      <w:pPr>
        <w:pStyle w:val="2"/>
        <w:rPr>
          <w:rFonts w:hint="eastAsia"/>
          <w:sz w:val="32"/>
          <w:szCs w:val="32"/>
          <w:lang w:val="en-US" w:eastAsia="zh-CN"/>
        </w:rPr>
      </w:pPr>
      <w:r>
        <w:rPr>
          <w:rFonts w:hint="eastAsia"/>
          <w:lang w:val="en-US" w:eastAsia="zh-CN"/>
        </w:rPr>
        <w:t xml:space="preserve">                   </w:t>
      </w:r>
      <w:r>
        <w:rPr>
          <w:rFonts w:hint="eastAsia"/>
          <w:sz w:val="32"/>
          <w:szCs w:val="32"/>
          <w:lang w:val="en-US" w:eastAsia="zh-CN"/>
        </w:rPr>
        <w:t xml:space="preserve"> </w:t>
      </w:r>
    </w:p>
    <w:p>
      <w:pPr>
        <w:pStyle w:val="2"/>
        <w:rPr>
          <w:rFonts w:hint="eastAsia"/>
          <w:sz w:val="32"/>
          <w:szCs w:val="32"/>
          <w:lang w:val="en-US" w:eastAsia="zh-CN"/>
        </w:rPr>
      </w:pP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报价单位（盖章）：</w:t>
      </w: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联系人：</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联系电话：</w:t>
      </w:r>
    </w:p>
    <w:p>
      <w:pPr>
        <w:pStyle w:val="2"/>
        <w:rPr>
          <w:rFonts w:hint="default"/>
          <w:lang w:val="en-US" w:eastAsia="zh-CN"/>
        </w:rPr>
      </w:pPr>
      <w:r>
        <w:rPr>
          <w:rFonts w:hint="eastAsia" w:ascii="仿宋_GB2312" w:hAnsi="仿宋_GB2312" w:eastAsia="仿宋_GB2312" w:cs="仿宋_GB2312"/>
          <w:b w:val="0"/>
          <w:bCs/>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8270C"/>
    <w:rsid w:val="192A7E11"/>
    <w:rsid w:val="350409D3"/>
    <w:rsid w:val="3ED8270C"/>
    <w:rsid w:val="64F62D7D"/>
    <w:rsid w:val="7E591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napToGrid w:val="0"/>
      <w:spacing w:before="50" w:beforeLines="50" w:beforeAutospacing="0" w:after="50" w:afterLines="50" w:afterAutospacing="0" w:line="360" w:lineRule="auto"/>
      <w:outlineLvl w:val="0"/>
    </w:pPr>
    <w:rPr>
      <w:rFonts w:ascii="Times New Roman" w:hAnsi="Times New Roman" w:eastAsia="仿宋_GB2312"/>
      <w:b/>
      <w:kern w:val="44"/>
      <w:sz w:val="30"/>
    </w:rPr>
  </w:style>
  <w:style w:type="paragraph" w:styleId="2">
    <w:name w:val="heading 3"/>
    <w:basedOn w:val="1"/>
    <w:next w:val="1"/>
    <w:unhideWhenUsed/>
    <w:qFormat/>
    <w:uiPriority w:val="0"/>
    <w:pPr>
      <w:keepNext/>
      <w:keepLines/>
      <w:spacing w:before="50" w:beforeLines="50" w:beforeAutospacing="0" w:after="50" w:afterLines="50" w:afterAutospacing="0" w:line="360" w:lineRule="auto"/>
      <w:outlineLvl w:val="2"/>
    </w:pPr>
    <w:rPr>
      <w:rFonts w:ascii="Times New Roman" w:hAnsi="Times New Roman" w:eastAsia="黑体" w:cs="Times New Roman"/>
      <w:b/>
      <w:sz w:val="3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2021-11-09T02:22:00Z</dcterms:created>
  <dc:creator>康国涛</dc:creator>
  <cp:lastModifiedBy>康国涛</cp:lastModifiedBy>
  <dcterms:modified xsi:type="dcterms:W3CDTF">2021-11-09T08:06:27Z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